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2D" w:rsidRDefault="0082692D" w:rsidP="0082692D">
      <w:pPr>
        <w:jc w:val="center"/>
        <w:rPr>
          <w:sz w:val="32"/>
        </w:rPr>
      </w:pPr>
    </w:p>
    <w:p w:rsidR="00C057FD" w:rsidRPr="0082692D" w:rsidRDefault="0082692D" w:rsidP="0082692D">
      <w:pPr>
        <w:jc w:val="center"/>
        <w:rPr>
          <w:sz w:val="36"/>
        </w:rPr>
      </w:pPr>
      <w:r w:rsidRPr="0082692D">
        <w:rPr>
          <w:rFonts w:hint="eastAsia"/>
          <w:sz w:val="36"/>
        </w:rPr>
        <w:t>袖ケ浦市都市計画マスタープラン一部</w:t>
      </w:r>
      <w:r w:rsidR="00A26027">
        <w:rPr>
          <w:rFonts w:hint="eastAsia"/>
          <w:sz w:val="36"/>
        </w:rPr>
        <w:t>改定</w:t>
      </w: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Default="0082692D" w:rsidP="0082692D">
      <w:pPr>
        <w:rPr>
          <w:sz w:val="24"/>
        </w:rPr>
      </w:pPr>
    </w:p>
    <w:p w:rsidR="0082692D" w:rsidRPr="0082692D" w:rsidRDefault="0082692D" w:rsidP="0082692D">
      <w:pPr>
        <w:jc w:val="center"/>
        <w:rPr>
          <w:sz w:val="32"/>
          <w:bdr w:val="single" w:sz="4" w:space="0" w:color="auto"/>
        </w:rPr>
      </w:pPr>
      <w:r w:rsidRPr="0082692D">
        <w:rPr>
          <w:rFonts w:hint="eastAsia"/>
          <w:sz w:val="32"/>
          <w:bdr w:val="single" w:sz="4" w:space="0" w:color="auto"/>
        </w:rPr>
        <w:t xml:space="preserve">　新旧対照表　</w:t>
      </w:r>
    </w:p>
    <w:p w:rsidR="00733EC2" w:rsidRDefault="00733EC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654E4" w:rsidRPr="00F654E4" w:rsidRDefault="00F654E4" w:rsidP="00F654E4">
      <w:pPr>
        <w:tabs>
          <w:tab w:val="center" w:pos="4535"/>
        </w:tabs>
        <w:rPr>
          <w:rFonts w:hint="eastAsia"/>
          <w:sz w:val="24"/>
        </w:rPr>
        <w:sectPr w:rsidR="00F654E4" w:rsidRPr="00F654E4" w:rsidSect="00F654E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134" w:left="1418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p w:rsidR="0082692D" w:rsidRPr="001438AF" w:rsidRDefault="0082692D" w:rsidP="0082692D">
      <w:pPr>
        <w:widowControl/>
        <w:jc w:val="center"/>
        <w:rPr>
          <w:sz w:val="32"/>
        </w:rPr>
      </w:pPr>
      <w:r w:rsidRPr="001438AF">
        <w:rPr>
          <w:sz w:val="32"/>
        </w:rPr>
        <w:lastRenderedPageBreak/>
        <w:t>（新）</w:t>
      </w:r>
    </w:p>
    <w:p w:rsidR="0082692D" w:rsidRDefault="00610E0C" w:rsidP="0082692D">
      <w:pPr>
        <w:rPr>
          <w:sz w:val="24"/>
        </w:rPr>
      </w:pPr>
      <w:r>
        <w:rPr>
          <w:sz w:val="24"/>
        </w:rPr>
        <w:t>第４章　全体構想</w:t>
      </w:r>
    </w:p>
    <w:p w:rsidR="00610E0C" w:rsidRDefault="00610E0C" w:rsidP="0082692D">
      <w:pPr>
        <w:rPr>
          <w:sz w:val="24"/>
        </w:rPr>
      </w:pPr>
      <w:r>
        <w:rPr>
          <w:sz w:val="24"/>
        </w:rPr>
        <w:t xml:space="preserve">　３　誘導・配置等の方針</w:t>
      </w:r>
    </w:p>
    <w:p w:rsidR="0082692D" w:rsidRDefault="001438AF" w:rsidP="00610E0C">
      <w:pPr>
        <w:ind w:firstLineChars="100" w:firstLine="240"/>
        <w:rPr>
          <w:sz w:val="24"/>
        </w:rPr>
      </w:pPr>
      <w:r w:rsidRPr="001438AF">
        <w:rPr>
          <w:rFonts w:hint="eastAsia"/>
          <w:sz w:val="24"/>
        </w:rPr>
        <w:t>（４）市街化調整区域の土地利用の方針</w:t>
      </w:r>
    </w:p>
    <w:p w:rsidR="0082692D" w:rsidRDefault="001438AF" w:rsidP="00015F20">
      <w:pPr>
        <w:jc w:val="center"/>
        <w:rPr>
          <w:sz w:val="24"/>
        </w:rPr>
      </w:pPr>
      <w:r>
        <w:rPr>
          <w:sz w:val="24"/>
        </w:rPr>
        <w:t>（略）</w:t>
      </w:r>
    </w:p>
    <w:p w:rsidR="001438AF" w:rsidRPr="001438AF" w:rsidRDefault="001438AF" w:rsidP="001438AF">
      <w:pPr>
        <w:spacing w:line="336" w:lineRule="exact"/>
        <w:ind w:firstLineChars="300" w:firstLine="660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>⑥　高速道路インターチェンジ周辺等</w:t>
      </w:r>
    </w:p>
    <w:p w:rsidR="001438AF" w:rsidRPr="001438AF" w:rsidRDefault="001438AF" w:rsidP="001438AF">
      <w:pPr>
        <w:numPr>
          <w:ilvl w:val="0"/>
          <w:numId w:val="3"/>
        </w:num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>広域道路ネットワークの整備に伴い、本市内に1箇所、市周辺に3箇所の高速道路インターチェンジが供用されているほか、（仮称）かずさインターチェンジの整備が市内に計画されています。これら高速道路インターチェンジの周辺地区及び</w:t>
      </w:r>
      <w:r w:rsidRPr="001438AF">
        <w:rPr>
          <w:rFonts w:ascii="メイリオ" w:eastAsia="メイリオ" w:hAnsi="メイリオ" w:cs="ＭＳ 明朝" w:hint="eastAsia"/>
          <w:kern w:val="0"/>
          <w:sz w:val="22"/>
        </w:rPr>
        <w:t>高速道路インターチェンジにアクセスする主要幹線道路沿道で</w:t>
      </w:r>
      <w:r w:rsidRPr="001438AF">
        <w:rPr>
          <w:rFonts w:ascii="メイリオ" w:eastAsia="メイリオ" w:hAnsi="Century" w:cs="Times New Roman" w:hint="eastAsia"/>
          <w:sz w:val="22"/>
          <w:szCs w:val="24"/>
        </w:rPr>
        <w:t>は、農林業との健全な調和や周辺の土地利用との調和を図りつつ、広域的な交通利便性の高さを活かし、市民の生活利便性の向上や地域活力の向上に資する</w:t>
      </w:r>
      <w:r w:rsidRPr="001438AF">
        <w:rPr>
          <w:rFonts w:ascii="メイリオ" w:eastAsia="メイリオ" w:hAnsi="Century" w:cs="Times New Roman" w:hint="eastAsia"/>
          <w:sz w:val="22"/>
        </w:rPr>
        <w:t>産業・観光施設の立地</w:t>
      </w:r>
      <w:r w:rsidRPr="001438AF">
        <w:rPr>
          <w:rFonts w:ascii="メイリオ" w:eastAsia="メイリオ" w:hAnsi="Century" w:cs="Times New Roman" w:hint="eastAsia"/>
          <w:sz w:val="22"/>
          <w:szCs w:val="24"/>
        </w:rPr>
        <w:t>など、</w:t>
      </w:r>
      <w:r w:rsidRPr="001438AF">
        <w:rPr>
          <w:rFonts w:ascii="メイリオ" w:eastAsia="メイリオ" w:hAnsi="メイリオ" w:cs="ＭＳ 明朝" w:hint="eastAsia"/>
          <w:kern w:val="0"/>
          <w:sz w:val="22"/>
        </w:rPr>
        <w:t>地域振興に寄与する土地利用について、地区計画制度の活用などにより</w:t>
      </w:r>
      <w:r w:rsidRPr="001438AF">
        <w:rPr>
          <w:rFonts w:ascii="メイリオ" w:eastAsia="メイリオ" w:hAnsi="Century" w:cs="Times New Roman" w:hint="eastAsia"/>
          <w:sz w:val="22"/>
        </w:rPr>
        <w:t>計画的な規制誘導を図ります</w:t>
      </w:r>
      <w:r w:rsidRPr="001438AF">
        <w:rPr>
          <w:rFonts w:ascii="メイリオ" w:eastAsia="メイリオ" w:hAnsi="Century" w:cs="Times New Roman" w:hint="eastAsia"/>
          <w:sz w:val="22"/>
          <w:szCs w:val="24"/>
        </w:rPr>
        <w:t>。</w:t>
      </w:r>
    </w:p>
    <w:p w:rsidR="001438AF" w:rsidRPr="001438AF" w:rsidRDefault="001438AF" w:rsidP="001438AF">
      <w:pPr>
        <w:numPr>
          <w:ilvl w:val="0"/>
          <w:numId w:val="4"/>
        </w:num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>袖ケ浦インターチェンジ周辺では、東京湾の対岸地域からの玄関口であり、袖ケ浦駅周辺地区にも近いことから、対岸地域からの来訪者や市民のニーズを踏まえた適切な土地利用の規制誘導を図ります。</w:t>
      </w:r>
    </w:p>
    <w:p w:rsidR="001438AF" w:rsidRPr="001438AF" w:rsidRDefault="001438AF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  <w:highlight w:val="yellow"/>
        </w:rPr>
      </w:pPr>
      <w:r w:rsidRPr="001438AF">
        <w:rPr>
          <w:rFonts w:ascii="メイリオ" w:eastAsia="メイリオ" w:hAnsi="Century" w:cs="Times New Roman"/>
          <w:sz w:val="22"/>
          <w:szCs w:val="24"/>
        </w:rPr>
        <w:t xml:space="preserve">　　　</w:t>
      </w:r>
      <w:r w:rsidRPr="001438AF">
        <w:rPr>
          <w:rFonts w:ascii="メイリオ" w:eastAsia="メイリオ" w:hAnsi="Century" w:cs="Times New Roman" w:hint="eastAsia"/>
          <w:sz w:val="22"/>
          <w:szCs w:val="24"/>
          <w:highlight w:val="yellow"/>
        </w:rPr>
        <w:t xml:space="preserve">⑦　</w:t>
      </w:r>
      <w:r w:rsidR="001C79CC" w:rsidRPr="001C79CC">
        <w:rPr>
          <w:rFonts w:ascii="メイリオ" w:eastAsia="メイリオ" w:hAnsi="Century" w:cs="Times New Roman" w:hint="eastAsia"/>
          <w:sz w:val="22"/>
          <w:szCs w:val="24"/>
          <w:highlight w:val="yellow"/>
        </w:rPr>
        <w:t>公共施設跡地利活用地区</w:t>
      </w:r>
    </w:p>
    <w:p w:rsidR="001438AF" w:rsidRPr="001438AF" w:rsidRDefault="001438AF" w:rsidP="001438AF">
      <w:pPr>
        <w:spacing w:line="336" w:lineRule="exact"/>
        <w:ind w:left="1100" w:hangingChars="500" w:hanging="1100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 xml:space="preserve">　　　</w:t>
      </w:r>
      <w:r w:rsidRPr="001438AF">
        <w:rPr>
          <w:rFonts w:ascii="メイリオ" w:eastAsia="メイリオ" w:hAnsi="Century" w:cs="Times New Roman" w:hint="eastAsia"/>
          <w:sz w:val="22"/>
          <w:szCs w:val="24"/>
          <w:highlight w:val="yellow"/>
        </w:rPr>
        <w:t xml:space="preserve">・　</w:t>
      </w:r>
      <w:r w:rsidR="001C79CC" w:rsidRPr="001C79CC">
        <w:rPr>
          <w:rFonts w:ascii="メイリオ" w:eastAsia="メイリオ" w:hAnsi="Century" w:cs="Times New Roman" w:hint="eastAsia"/>
          <w:sz w:val="22"/>
          <w:szCs w:val="24"/>
          <w:highlight w:val="yellow"/>
        </w:rPr>
        <w:t>公共施設跡地</w:t>
      </w:r>
      <w:r w:rsidR="00273740">
        <w:rPr>
          <w:rFonts w:ascii="メイリオ" w:eastAsia="メイリオ" w:hAnsi="Century" w:cs="Times New Roman" w:hint="eastAsia"/>
          <w:sz w:val="22"/>
          <w:szCs w:val="24"/>
          <w:highlight w:val="yellow"/>
        </w:rPr>
        <w:t>また</w:t>
      </w:r>
      <w:r w:rsidR="001C79CC" w:rsidRPr="001C79CC">
        <w:rPr>
          <w:rFonts w:ascii="メイリオ" w:eastAsia="メイリオ" w:hAnsi="Century" w:cs="Times New Roman" w:hint="eastAsia"/>
          <w:sz w:val="22"/>
          <w:szCs w:val="24"/>
          <w:highlight w:val="yellow"/>
        </w:rPr>
        <w:t>は</w:t>
      </w:r>
      <w:r w:rsidR="00273740">
        <w:rPr>
          <w:rFonts w:ascii="メイリオ" w:eastAsia="メイリオ" w:hAnsi="Century" w:cs="Times New Roman" w:hint="eastAsia"/>
          <w:sz w:val="22"/>
          <w:szCs w:val="24"/>
          <w:highlight w:val="yellow"/>
        </w:rPr>
        <w:t>今後施設の廃止等が見込まれる公共施設用地について</w:t>
      </w:r>
      <w:r w:rsidR="001C79CC">
        <w:rPr>
          <w:rFonts w:ascii="メイリオ" w:eastAsia="メイリオ" w:hAnsi="Century" w:cs="Times New Roman" w:hint="eastAsia"/>
          <w:sz w:val="22"/>
          <w:szCs w:val="24"/>
          <w:highlight w:val="yellow"/>
        </w:rPr>
        <w:t>、</w:t>
      </w:r>
      <w:r w:rsidR="001C79CC" w:rsidRPr="001C79CC">
        <w:rPr>
          <w:rFonts w:ascii="メイリオ" w:eastAsia="メイリオ" w:hAnsi="Century" w:cs="Times New Roman" w:hint="eastAsia"/>
          <w:sz w:val="22"/>
          <w:szCs w:val="24"/>
          <w:highlight w:val="yellow"/>
        </w:rPr>
        <w:t>地域コミュニティ形成の拠点であることを考慮し、地区計画制度の活用</w:t>
      </w:r>
      <w:r w:rsidR="00091E23">
        <w:rPr>
          <w:rFonts w:ascii="メイリオ" w:eastAsia="メイリオ" w:hAnsi="Century" w:cs="Times New Roman" w:hint="eastAsia"/>
          <w:sz w:val="22"/>
          <w:szCs w:val="24"/>
          <w:highlight w:val="yellow"/>
        </w:rPr>
        <w:t>等</w:t>
      </w:r>
      <w:r w:rsidR="001C79CC" w:rsidRPr="001C79CC">
        <w:rPr>
          <w:rFonts w:ascii="メイリオ" w:eastAsia="メイリオ" w:hAnsi="Century" w:cs="Times New Roman" w:hint="eastAsia"/>
          <w:sz w:val="22"/>
          <w:szCs w:val="24"/>
          <w:highlight w:val="yellow"/>
        </w:rPr>
        <w:t>により、地域振興に寄与する施設の誘導を図ります。</w:t>
      </w:r>
    </w:p>
    <w:p w:rsidR="001438AF" w:rsidRPr="001438AF" w:rsidRDefault="001438AF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 xml:space="preserve">　</w:t>
      </w:r>
    </w:p>
    <w:p w:rsidR="001438AF" w:rsidRPr="001438AF" w:rsidRDefault="001438AF" w:rsidP="001438AF">
      <w:pPr>
        <w:spacing w:line="260" w:lineRule="exact"/>
        <w:ind w:left="1080"/>
        <w:jc w:val="right"/>
        <w:rPr>
          <w:rFonts w:ascii="ＭＳ 明朝" w:eastAsia="ＭＳ 明朝" w:hAnsi="ＭＳ 明朝" w:cs="Times New Roman"/>
          <w:spacing w:val="-10"/>
          <w:sz w:val="18"/>
        </w:rPr>
      </w:pPr>
      <w:r w:rsidRPr="001438AF">
        <w:rPr>
          <w:rFonts w:ascii="ＭＳ 明朝" w:eastAsia="ＭＳ 明朝" w:hAnsi="ＭＳ 明朝" w:cs="Times New Roman" w:hint="eastAsia"/>
          <w:spacing w:val="-10"/>
          <w:sz w:val="18"/>
        </w:rPr>
        <w:t>≪参考：コラム４（地区計画制度を活用した都市づくり）（P47）≫</w:t>
      </w:r>
    </w:p>
    <w:p w:rsidR="001438AF" w:rsidRPr="001438AF" w:rsidRDefault="001438AF" w:rsidP="001438AF">
      <w:pPr>
        <w:spacing w:line="336" w:lineRule="exact"/>
        <w:ind w:leftChars="100" w:left="210" w:firstLineChars="100" w:firstLine="160"/>
        <w:rPr>
          <w:rFonts w:ascii="メイリオ" w:eastAsia="メイリオ" w:hAnsi="メイリオ" w:cs="Times New Roman"/>
          <w:sz w:val="22"/>
        </w:rPr>
      </w:pPr>
      <w:r>
        <w:rPr>
          <w:rFonts w:ascii="ＭＳ 明朝" w:eastAsia="ＭＳ 明朝" w:hAnsi="ＭＳ 明朝" w:cs="Times New Roman"/>
          <w:spacing w:val="-10"/>
          <w:sz w:val="18"/>
        </w:rPr>
        <w:tab/>
      </w:r>
      <w:r>
        <w:rPr>
          <w:rFonts w:ascii="ＭＳ 明朝" w:eastAsia="ＭＳ 明朝" w:hAnsi="ＭＳ 明朝" w:cs="Times New Roman"/>
          <w:spacing w:val="-10"/>
          <w:sz w:val="18"/>
        </w:rPr>
        <w:tab/>
        <w:t xml:space="preserve">　　　　</w:t>
      </w:r>
      <w:r w:rsidRPr="001438AF">
        <w:rPr>
          <w:rFonts w:ascii="ＭＳ 明朝" w:eastAsia="ＭＳ 明朝" w:hAnsi="ＭＳ 明朝" w:cs="Times New Roman" w:hint="eastAsia"/>
          <w:spacing w:val="-10"/>
          <w:sz w:val="18"/>
        </w:rPr>
        <w:t>≪参考：コラム５（広域道路ネットワークの波及効果）（P53）≫</w:t>
      </w:r>
    </w:p>
    <w:p w:rsidR="0082692D" w:rsidRPr="001438AF" w:rsidRDefault="0082692D" w:rsidP="0082692D">
      <w:pPr>
        <w:jc w:val="center"/>
        <w:rPr>
          <w:sz w:val="32"/>
        </w:rPr>
      </w:pPr>
      <w:r w:rsidRPr="001438AF">
        <w:rPr>
          <w:sz w:val="32"/>
        </w:rPr>
        <w:t>（旧）</w:t>
      </w:r>
    </w:p>
    <w:p w:rsidR="00610E0C" w:rsidRDefault="00610E0C" w:rsidP="00610E0C">
      <w:pPr>
        <w:rPr>
          <w:sz w:val="24"/>
        </w:rPr>
      </w:pPr>
      <w:r>
        <w:rPr>
          <w:sz w:val="24"/>
        </w:rPr>
        <w:t>第４章　全体構想</w:t>
      </w:r>
    </w:p>
    <w:p w:rsidR="00610E0C" w:rsidRDefault="00610E0C" w:rsidP="00610E0C">
      <w:pPr>
        <w:rPr>
          <w:sz w:val="24"/>
        </w:rPr>
      </w:pPr>
      <w:r>
        <w:rPr>
          <w:sz w:val="24"/>
        </w:rPr>
        <w:t xml:space="preserve">　３　誘導・配置等の方針</w:t>
      </w:r>
    </w:p>
    <w:p w:rsidR="00610E0C" w:rsidRDefault="00610E0C" w:rsidP="00610E0C">
      <w:pPr>
        <w:ind w:firstLineChars="100" w:firstLine="240"/>
        <w:rPr>
          <w:sz w:val="24"/>
        </w:rPr>
      </w:pPr>
      <w:r w:rsidRPr="001438AF">
        <w:rPr>
          <w:rFonts w:hint="eastAsia"/>
          <w:sz w:val="24"/>
        </w:rPr>
        <w:t>（４）市街化調整区域の土地利用の方針</w:t>
      </w:r>
    </w:p>
    <w:p w:rsidR="0082692D" w:rsidRDefault="00015F20" w:rsidP="00015F20">
      <w:pPr>
        <w:jc w:val="center"/>
        <w:rPr>
          <w:sz w:val="24"/>
        </w:rPr>
      </w:pPr>
      <w:r>
        <w:rPr>
          <w:sz w:val="24"/>
        </w:rPr>
        <w:t>（略）</w:t>
      </w:r>
    </w:p>
    <w:p w:rsidR="001438AF" w:rsidRPr="001438AF" w:rsidRDefault="001438AF" w:rsidP="001438AF">
      <w:pPr>
        <w:spacing w:line="336" w:lineRule="exact"/>
        <w:ind w:firstLineChars="300" w:firstLine="660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>⑥　高速道路インターチェンジ周辺等</w:t>
      </w:r>
    </w:p>
    <w:p w:rsidR="001438AF" w:rsidRPr="001438AF" w:rsidRDefault="001438AF" w:rsidP="001438AF">
      <w:pPr>
        <w:numPr>
          <w:ilvl w:val="0"/>
          <w:numId w:val="3"/>
        </w:num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>広域道路ネットワークの整備に伴い、本市内に1箇所、市周辺に3箇所の高速道路インターチェンジが供用されているほか、（仮称）かずさインターチェンジの整備が市内に計画されています。これら高速道路インターチェンジの周辺地区及び</w:t>
      </w:r>
      <w:r w:rsidRPr="001438AF">
        <w:rPr>
          <w:rFonts w:ascii="メイリオ" w:eastAsia="メイリオ" w:hAnsi="メイリオ" w:cs="ＭＳ 明朝" w:hint="eastAsia"/>
          <w:kern w:val="0"/>
          <w:sz w:val="22"/>
        </w:rPr>
        <w:t>高速道路インターチェンジにアクセスする主要幹線道路沿道で</w:t>
      </w:r>
      <w:r w:rsidRPr="001438AF">
        <w:rPr>
          <w:rFonts w:ascii="メイリオ" w:eastAsia="メイリオ" w:hAnsi="Century" w:cs="Times New Roman" w:hint="eastAsia"/>
          <w:sz w:val="22"/>
          <w:szCs w:val="24"/>
        </w:rPr>
        <w:t>は、農林業との健全な調和や周辺の土地利用との調和を図りつつ、広域的な交通利便性の高さを活かし、市民の生活利便性の向上や地域活力の向上に資する</w:t>
      </w:r>
      <w:r w:rsidRPr="001438AF">
        <w:rPr>
          <w:rFonts w:ascii="メイリオ" w:eastAsia="メイリオ" w:hAnsi="Century" w:cs="Times New Roman" w:hint="eastAsia"/>
          <w:sz w:val="22"/>
        </w:rPr>
        <w:t>産業・観光施設の立地</w:t>
      </w:r>
      <w:r w:rsidRPr="001438AF">
        <w:rPr>
          <w:rFonts w:ascii="メイリオ" w:eastAsia="メイリオ" w:hAnsi="Century" w:cs="Times New Roman" w:hint="eastAsia"/>
          <w:sz w:val="22"/>
          <w:szCs w:val="24"/>
        </w:rPr>
        <w:t>など、</w:t>
      </w:r>
      <w:r w:rsidRPr="001438AF">
        <w:rPr>
          <w:rFonts w:ascii="メイリオ" w:eastAsia="メイリオ" w:hAnsi="メイリオ" w:cs="ＭＳ 明朝" w:hint="eastAsia"/>
          <w:kern w:val="0"/>
          <w:sz w:val="22"/>
        </w:rPr>
        <w:t>地域振興に寄与する土地利用について、地区計画制度の活用などにより</w:t>
      </w:r>
      <w:r w:rsidRPr="001438AF">
        <w:rPr>
          <w:rFonts w:ascii="メイリオ" w:eastAsia="メイリオ" w:hAnsi="Century" w:cs="Times New Roman" w:hint="eastAsia"/>
          <w:sz w:val="22"/>
        </w:rPr>
        <w:t>計画的な規制誘導を図ります</w:t>
      </w:r>
      <w:r w:rsidRPr="001438AF">
        <w:rPr>
          <w:rFonts w:ascii="メイリオ" w:eastAsia="メイリオ" w:hAnsi="Century" w:cs="Times New Roman" w:hint="eastAsia"/>
          <w:sz w:val="22"/>
          <w:szCs w:val="24"/>
        </w:rPr>
        <w:t>。</w:t>
      </w:r>
    </w:p>
    <w:p w:rsidR="001438AF" w:rsidRDefault="001438AF" w:rsidP="001438AF">
      <w:pPr>
        <w:numPr>
          <w:ilvl w:val="0"/>
          <w:numId w:val="4"/>
        </w:num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  <w:r w:rsidRPr="001438AF">
        <w:rPr>
          <w:rFonts w:ascii="メイリオ" w:eastAsia="メイリオ" w:hAnsi="Century" w:cs="Times New Roman" w:hint="eastAsia"/>
          <w:sz w:val="22"/>
          <w:szCs w:val="24"/>
        </w:rPr>
        <w:t>袖ケ浦インターチェンジ周辺では、東京湾の対岸地域からの玄関口であり、袖ケ浦駅周辺地区にも近いことから、対岸地域からの来訪者や市民のニーズを踏まえた適切な土地利用の規制誘導を図ります。</w:t>
      </w:r>
    </w:p>
    <w:p w:rsidR="001438AF" w:rsidRDefault="001438AF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</w:p>
    <w:p w:rsidR="001438AF" w:rsidRDefault="001438AF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</w:p>
    <w:p w:rsidR="001438AF" w:rsidRDefault="001438AF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</w:p>
    <w:p w:rsidR="009A79ED" w:rsidRDefault="009A79ED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</w:p>
    <w:p w:rsidR="001438AF" w:rsidRDefault="001438AF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</w:p>
    <w:p w:rsidR="00595D51" w:rsidRPr="001438AF" w:rsidRDefault="00595D51" w:rsidP="001438AF">
      <w:pPr>
        <w:spacing w:line="336" w:lineRule="exact"/>
        <w:rPr>
          <w:rFonts w:ascii="メイリオ" w:eastAsia="メイリオ" w:hAnsi="Century" w:cs="Times New Roman"/>
          <w:sz w:val="22"/>
          <w:szCs w:val="24"/>
        </w:rPr>
      </w:pPr>
    </w:p>
    <w:p w:rsidR="001438AF" w:rsidRPr="001438AF" w:rsidRDefault="001438AF" w:rsidP="001438AF">
      <w:pPr>
        <w:spacing w:line="260" w:lineRule="exact"/>
        <w:ind w:left="1080"/>
        <w:jc w:val="right"/>
        <w:rPr>
          <w:rFonts w:ascii="ＭＳ 明朝" w:eastAsia="ＭＳ 明朝" w:hAnsi="ＭＳ 明朝" w:cs="Times New Roman"/>
          <w:spacing w:val="-10"/>
          <w:sz w:val="18"/>
        </w:rPr>
      </w:pPr>
      <w:r w:rsidRPr="001438AF">
        <w:rPr>
          <w:rFonts w:ascii="ＭＳ 明朝" w:eastAsia="ＭＳ 明朝" w:hAnsi="ＭＳ 明朝" w:cs="Times New Roman" w:hint="eastAsia"/>
          <w:spacing w:val="-10"/>
          <w:sz w:val="18"/>
        </w:rPr>
        <w:t>≪参考：コラム４（地区計画制度を活用した都市づくり）（P47）≫</w:t>
      </w:r>
    </w:p>
    <w:p w:rsidR="007A2059" w:rsidRPr="006A48ED" w:rsidRDefault="001438AF" w:rsidP="006A48ED">
      <w:pPr>
        <w:spacing w:line="336" w:lineRule="exact"/>
        <w:ind w:firstLineChars="1400" w:firstLine="2240"/>
        <w:rPr>
          <w:rFonts w:ascii="ＭＳ 明朝" w:eastAsia="ＭＳ 明朝" w:hAnsi="ＭＳ 明朝" w:cs="Times New Roman"/>
          <w:spacing w:val="-10"/>
          <w:sz w:val="18"/>
        </w:rPr>
      </w:pPr>
      <w:r w:rsidRPr="001438AF">
        <w:rPr>
          <w:rFonts w:ascii="ＭＳ 明朝" w:eastAsia="ＭＳ 明朝" w:hAnsi="ＭＳ 明朝" w:cs="Times New Roman" w:hint="eastAsia"/>
          <w:spacing w:val="-10"/>
          <w:sz w:val="18"/>
        </w:rPr>
        <w:t>≪参考：コラム５（広域道路ネットワークの波及効果）（P53）≫</w:t>
      </w:r>
    </w:p>
    <w:sectPr w:rsidR="007A2059" w:rsidRPr="006A48ED" w:rsidSect="00F654E4">
      <w:footerReference w:type="default" r:id="rId11"/>
      <w:pgSz w:w="16838" w:h="11906" w:orient="landscape" w:code="9"/>
      <w:pgMar w:top="1134" w:right="1134" w:bottom="851" w:left="1134" w:header="851" w:footer="227" w:gutter="0"/>
      <w:pgNumType w:fmt="numberInDash" w:start="1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2D" w:rsidRDefault="0082692D" w:rsidP="0082692D">
      <w:r>
        <w:separator/>
      </w:r>
    </w:p>
  </w:endnote>
  <w:endnote w:type="continuationSeparator" w:id="0">
    <w:p w:rsidR="0082692D" w:rsidRDefault="0082692D" w:rsidP="0082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49832"/>
      <w:docPartObj>
        <w:docPartGallery w:val="Page Numbers (Bottom of Page)"/>
        <w:docPartUnique/>
      </w:docPartObj>
    </w:sdtPr>
    <w:sdtEndPr/>
    <w:sdtContent>
      <w:p w:rsidR="00F654E4" w:rsidRDefault="00F654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54E4">
          <w:rPr>
            <w:noProof/>
            <w:lang w:val="ja-JP"/>
          </w:rPr>
          <w:t>2</w:t>
        </w:r>
        <w:r>
          <w:fldChar w:fldCharType="end"/>
        </w:r>
      </w:p>
    </w:sdtContent>
  </w:sdt>
  <w:p w:rsidR="00F654E4" w:rsidRDefault="00F654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767623"/>
      <w:docPartObj>
        <w:docPartGallery w:val="Page Numbers (Bottom of Page)"/>
        <w:docPartUnique/>
      </w:docPartObj>
    </w:sdtPr>
    <w:sdtEndPr/>
    <w:sdtContent>
      <w:p w:rsidR="00F654E4" w:rsidRDefault="00F654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92" w:rsidRPr="00C43892">
          <w:rPr>
            <w:noProof/>
            <w:lang w:val="ja-JP"/>
          </w:rPr>
          <w:t>-</w:t>
        </w:r>
        <w:r w:rsidR="00C43892">
          <w:rPr>
            <w:noProof/>
          </w:rPr>
          <w:t xml:space="preserve"> 1 -</w:t>
        </w:r>
        <w:r>
          <w:fldChar w:fldCharType="end"/>
        </w:r>
      </w:p>
    </w:sdtContent>
  </w:sdt>
  <w:p w:rsidR="00F654E4" w:rsidRDefault="00F65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2D" w:rsidRDefault="0082692D" w:rsidP="0082692D">
      <w:r>
        <w:separator/>
      </w:r>
    </w:p>
  </w:footnote>
  <w:footnote w:type="continuationSeparator" w:id="0">
    <w:p w:rsidR="0082692D" w:rsidRDefault="0082692D" w:rsidP="0082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E4" w:rsidRDefault="00F654E4" w:rsidP="00F654E4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E4" w:rsidRDefault="00F654E4" w:rsidP="00F654E4">
    <w:pPr>
      <w:pStyle w:val="a3"/>
      <w:jc w:val="right"/>
    </w:pPr>
    <w:r>
      <w:t>資料１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638D"/>
    <w:multiLevelType w:val="hybridMultilevel"/>
    <w:tmpl w:val="E21CDDB8"/>
    <w:lvl w:ilvl="0" w:tplc="B5424F96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81787E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0665D0"/>
    <w:multiLevelType w:val="hybridMultilevel"/>
    <w:tmpl w:val="5D6461C0"/>
    <w:lvl w:ilvl="0" w:tplc="F7003B7C">
      <w:start w:val="6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2340AB7"/>
    <w:multiLevelType w:val="hybridMultilevel"/>
    <w:tmpl w:val="E6364908"/>
    <w:lvl w:ilvl="0" w:tplc="47A639DA">
      <w:numFmt w:val="bullet"/>
      <w:lvlText w:val="・"/>
      <w:lvlJc w:val="left"/>
      <w:pPr>
        <w:ind w:left="1080" w:hanging="420"/>
      </w:pPr>
      <w:rPr>
        <w:rFonts w:ascii="メイリオ" w:eastAsia="メイリオ" w:hAnsi="メイリオ" w:cstheme="minorBidi" w:hint="eastAsia"/>
        <w:lang w:val="en-US"/>
      </w:rPr>
    </w:lvl>
    <w:lvl w:ilvl="1" w:tplc="D94015B6">
      <w:numFmt w:val="bullet"/>
      <w:lvlText w:val="●"/>
      <w:lvlJc w:val="left"/>
      <w:pPr>
        <w:ind w:left="1070" w:hanging="360"/>
      </w:pPr>
      <w:rPr>
        <w:rFonts w:ascii="メイリオ" w:eastAsia="メイリオ" w:hAnsi="メイリオ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43B1154E"/>
    <w:multiLevelType w:val="hybridMultilevel"/>
    <w:tmpl w:val="9AF40CEE"/>
    <w:lvl w:ilvl="0" w:tplc="C204CD44">
      <w:numFmt w:val="bullet"/>
      <w:lvlText w:val="・"/>
      <w:lvlJc w:val="left"/>
      <w:pPr>
        <w:ind w:left="1080" w:hanging="42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9"/>
    <w:rsid w:val="00015F20"/>
    <w:rsid w:val="00091E23"/>
    <w:rsid w:val="001438AF"/>
    <w:rsid w:val="001C79CC"/>
    <w:rsid w:val="00273740"/>
    <w:rsid w:val="00595D51"/>
    <w:rsid w:val="00610E0C"/>
    <w:rsid w:val="00685953"/>
    <w:rsid w:val="006A48ED"/>
    <w:rsid w:val="006F3B07"/>
    <w:rsid w:val="00733EC2"/>
    <w:rsid w:val="007A2059"/>
    <w:rsid w:val="007D2F11"/>
    <w:rsid w:val="0082692D"/>
    <w:rsid w:val="00951F5E"/>
    <w:rsid w:val="009A79ED"/>
    <w:rsid w:val="00A26027"/>
    <w:rsid w:val="00A612F9"/>
    <w:rsid w:val="00AB3896"/>
    <w:rsid w:val="00C057FD"/>
    <w:rsid w:val="00C43892"/>
    <w:rsid w:val="00D42952"/>
    <w:rsid w:val="00DA53F6"/>
    <w:rsid w:val="00EE6DA1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E91676-AC04-4E99-B627-D45DCCC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92D"/>
  </w:style>
  <w:style w:type="paragraph" w:styleId="a5">
    <w:name w:val="footer"/>
    <w:basedOn w:val="a"/>
    <w:link w:val="a6"/>
    <w:uiPriority w:val="99"/>
    <w:unhideWhenUsed/>
    <w:rsid w:val="00826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92D"/>
  </w:style>
  <w:style w:type="table" w:styleId="a7">
    <w:name w:val="Table Grid"/>
    <w:basedOn w:val="a1"/>
    <w:uiPriority w:val="39"/>
    <w:rsid w:val="0059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074F-A27A-49E3-9322-4CF51CC9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odaka hiroyuki</dc:creator>
  <cp:keywords/>
  <dc:description/>
  <cp:lastModifiedBy>yoshida yohei</cp:lastModifiedBy>
  <cp:revision>17</cp:revision>
  <cp:lastPrinted>2023-04-26T07:36:00Z</cp:lastPrinted>
  <dcterms:created xsi:type="dcterms:W3CDTF">2023-02-16T01:06:00Z</dcterms:created>
  <dcterms:modified xsi:type="dcterms:W3CDTF">2023-04-28T00:37:00Z</dcterms:modified>
</cp:coreProperties>
</file>